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361" w:tblpY="-660"/>
        <w:tblW w:w="11131" w:type="dxa"/>
        <w:tblLook w:val="04A0" w:firstRow="1" w:lastRow="0" w:firstColumn="1" w:lastColumn="0" w:noHBand="0" w:noVBand="1"/>
      </w:tblPr>
      <w:tblGrid>
        <w:gridCol w:w="11131"/>
      </w:tblGrid>
      <w:tr w:rsidR="00F50749" w:rsidTr="00F50749">
        <w:trPr>
          <w:trHeight w:val="355"/>
        </w:trPr>
        <w:tc>
          <w:tcPr>
            <w:tcW w:w="11131" w:type="dxa"/>
          </w:tcPr>
          <w:p w:rsidR="00F50749" w:rsidRDefault="00F50749" w:rsidP="00F50749">
            <w:pPr>
              <w:tabs>
                <w:tab w:val="left" w:pos="774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To investigate the role of a consistent minority upon the levels of a majority in an unambiguous situation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tabs>
                <w:tab w:val="left" w:pos="77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Female participants were placed into groups of 6, 4 real participants, 2 confederates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tabs>
                <w:tab w:val="left" w:pos="80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5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Participants were told it was an investigation into perception.</w:t>
            </w:r>
          </w:p>
          <w:p w:rsidR="00F50749" w:rsidRPr="00F50749" w:rsidRDefault="00F50749" w:rsidP="00F50749">
            <w:pPr>
              <w:tabs>
                <w:tab w:val="left" w:pos="700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Groups were shown 36 blue slides, varying in terms of colour intensity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5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All participants were required to answer the colour of the slide verbally in the presence of the group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The real participants were in one of two conditions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5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  <w:u w:val="single"/>
              </w:rPr>
              <w:t>Consistent</w:t>
            </w:r>
            <w:r w:rsidRPr="00F50749">
              <w:rPr>
                <w:rFonts w:ascii="Comic Sans MS" w:hAnsi="Comic Sans MS"/>
                <w:b/>
                <w:sz w:val="28"/>
                <w:szCs w:val="28"/>
              </w:rPr>
              <w:t xml:space="preserve"> – Minority answered green for </w:t>
            </w:r>
            <w:r w:rsidRPr="00F50749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all </w:t>
            </w:r>
            <w:r w:rsidRPr="00F50749">
              <w:rPr>
                <w:rFonts w:ascii="Comic Sans MS" w:hAnsi="Comic Sans MS"/>
                <w:b/>
                <w:sz w:val="28"/>
                <w:szCs w:val="28"/>
              </w:rPr>
              <w:t>36 slides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tabs>
                <w:tab w:val="left" w:pos="74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  <w:u w:val="single"/>
              </w:rPr>
              <w:t>Inconsistent</w:t>
            </w:r>
            <w:r w:rsidRPr="00F50749">
              <w:rPr>
                <w:rFonts w:ascii="Comic Sans MS" w:hAnsi="Comic Sans MS"/>
                <w:b/>
                <w:sz w:val="28"/>
                <w:szCs w:val="28"/>
              </w:rPr>
              <w:t xml:space="preserve"> – Minority answered green for 24/36 slides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tabs>
                <w:tab w:val="left" w:pos="36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Each condition was compared to a control condition with no minority influence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Consistent condition = 8.2% agreement on answer green (32% agreed with the minority at least once)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Inconsistent condition = 1.25% agreement on answer green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50749" w:rsidRPr="00F50749" w:rsidRDefault="00F50749" w:rsidP="00F50749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335"/>
        </w:trPr>
        <w:tc>
          <w:tcPr>
            <w:tcW w:w="11131" w:type="dxa"/>
          </w:tcPr>
          <w:p w:rsidR="00F50749" w:rsidRPr="00F50749" w:rsidRDefault="00F50749" w:rsidP="00F50749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Control group = less than 1% responded green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0749" w:rsidRPr="00F50749" w:rsidRDefault="00F50749" w:rsidP="00F50749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F50749" w:rsidTr="00F50749">
        <w:trPr>
          <w:trHeight w:val="1484"/>
        </w:trPr>
        <w:tc>
          <w:tcPr>
            <w:tcW w:w="11131" w:type="dxa"/>
          </w:tcPr>
          <w:p w:rsidR="00F50749" w:rsidRDefault="00F50749" w:rsidP="00F50749">
            <w:pPr>
              <w:tabs>
                <w:tab w:val="left" w:pos="711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50749">
              <w:rPr>
                <w:rFonts w:ascii="Comic Sans MS" w:hAnsi="Comic Sans MS"/>
                <w:b/>
                <w:sz w:val="28"/>
                <w:szCs w:val="28"/>
              </w:rPr>
              <w:t>Although the consistent condition only yielded an 8.2% agreement rate, it is significantly higher than the inconsistent condition (1.25%) which shows that although minority influence is relatively small, consistency is the important variable.</w:t>
            </w:r>
          </w:p>
          <w:p w:rsidR="00F50749" w:rsidRPr="00F50749" w:rsidRDefault="00F50749" w:rsidP="00F50749">
            <w:pPr>
              <w:tabs>
                <w:tab w:val="left" w:pos="711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D04388" w:rsidRDefault="00D04388"/>
    <w:sectPr w:rsidR="00D04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71C1"/>
    <w:multiLevelType w:val="hybridMultilevel"/>
    <w:tmpl w:val="A2F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6318"/>
    <w:multiLevelType w:val="hybridMultilevel"/>
    <w:tmpl w:val="252A4A38"/>
    <w:lvl w:ilvl="0" w:tplc="4EE8A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49"/>
    <w:rsid w:val="00D04388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A714"/>
  <w15:chartTrackingRefBased/>
  <w15:docId w15:val="{668E1462-375A-4548-B398-E2DE66C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2016-03-07T16:26:00Z</dcterms:created>
  <dcterms:modified xsi:type="dcterms:W3CDTF">2016-03-07T16:30:00Z</dcterms:modified>
</cp:coreProperties>
</file>