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D6D93" w:rsidTr="004D6D93">
        <w:tc>
          <w:tcPr>
            <w:tcW w:w="9242" w:type="dxa"/>
          </w:tcPr>
          <w:p w:rsidR="004D6D93" w:rsidRPr="004D6D93" w:rsidRDefault="004D6D93">
            <w:pPr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 xml:space="preserve">Godden and </w:t>
            </w:r>
            <w:proofErr w:type="gramStart"/>
            <w:r w:rsidRPr="004D6D93">
              <w:rPr>
                <w:b/>
                <w:bCs/>
                <w:sz w:val="28"/>
                <w:szCs w:val="28"/>
              </w:rPr>
              <w:t>Baddeley  (</w:t>
            </w:r>
            <w:proofErr w:type="gramEnd"/>
            <w:r w:rsidRPr="004D6D93">
              <w:rPr>
                <w:b/>
                <w:bCs/>
                <w:sz w:val="28"/>
                <w:szCs w:val="28"/>
              </w:rPr>
              <w:t>1975) investigated the effect of environment on recall.  This study took place in Scotland.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5643"/>
              </w:tabs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18 divers from a diving club were asked to learn lists of 36 unrelated words of two or three syllables</w:t>
            </w:r>
          </w:p>
          <w:p w:rsidR="004D6D93" w:rsidRPr="004D6D93" w:rsidRDefault="004D6D93" w:rsidP="004D6D93">
            <w:pPr>
              <w:tabs>
                <w:tab w:val="left" w:pos="5643"/>
              </w:tabs>
              <w:rPr>
                <w:sz w:val="28"/>
                <w:szCs w:val="28"/>
              </w:rPr>
            </w:pP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3098"/>
              </w:tabs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The study consisted of 4 conditions</w:t>
            </w:r>
          </w:p>
          <w:p w:rsidR="004D6D93" w:rsidRPr="004D6D93" w:rsidRDefault="004D6D93" w:rsidP="004D6D93">
            <w:pPr>
              <w:tabs>
                <w:tab w:val="left" w:pos="3098"/>
              </w:tabs>
              <w:rPr>
                <w:sz w:val="28"/>
                <w:szCs w:val="28"/>
              </w:rPr>
            </w:pPr>
          </w:p>
        </w:tc>
      </w:tr>
      <w:tr w:rsidR="004D6D93" w:rsidTr="004D6D93">
        <w:tc>
          <w:tcPr>
            <w:tcW w:w="9242" w:type="dxa"/>
          </w:tcPr>
          <w:p w:rsidR="00000000" w:rsidRPr="004D6D93" w:rsidRDefault="005A605D" w:rsidP="004D6D93">
            <w:pPr>
              <w:tabs>
                <w:tab w:val="left" w:pos="5157"/>
              </w:tabs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Learn on beach recall on beach</w:t>
            </w:r>
          </w:p>
          <w:p w:rsidR="004D6D93" w:rsidRPr="004D6D93" w:rsidRDefault="004D6D93" w:rsidP="004D6D93">
            <w:pPr>
              <w:tabs>
                <w:tab w:val="left" w:pos="5157"/>
              </w:tabs>
              <w:rPr>
                <w:sz w:val="28"/>
                <w:szCs w:val="28"/>
              </w:rPr>
            </w:pP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Learn on beach recall under water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>
            <w:pPr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Learn under water recall on beach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1792"/>
              </w:tabs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Learn under water recall under water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>
            <w:pPr>
              <w:rPr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The results  show that the context acted as a cue to recall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>
            <w:pPr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</w:rPr>
              <w:t>The participants  recalled more words wh</w:t>
            </w:r>
            <w:r>
              <w:rPr>
                <w:b/>
                <w:bCs/>
                <w:sz w:val="28"/>
                <w:szCs w:val="28"/>
              </w:rPr>
              <w:t xml:space="preserve">en they learnt and recalled the </w:t>
            </w:r>
            <w:r w:rsidRPr="004D6D93">
              <w:rPr>
                <w:b/>
                <w:bCs/>
                <w:sz w:val="28"/>
                <w:szCs w:val="28"/>
              </w:rPr>
              <w:t>words in the same environment than when they learnt and recalled the words in different environments</w:t>
            </w:r>
          </w:p>
        </w:tc>
      </w:tr>
      <w:tr w:rsidR="004D6D93" w:rsidTr="004D6D93">
        <w:tc>
          <w:tcPr>
            <w:tcW w:w="9242" w:type="dxa"/>
          </w:tcPr>
          <w:p w:rsidR="004D6D93" w:rsidRDefault="004D6D93">
            <w:pPr>
              <w:rPr>
                <w:b/>
                <w:bCs/>
              </w:rPr>
            </w:pPr>
            <w:r w:rsidRPr="004D6D93">
              <w:rPr>
                <w:b/>
                <w:bCs/>
              </w:rPr>
              <w:drawing>
                <wp:inline distT="0" distB="0" distL="0" distR="0" wp14:anchorId="60EFCC5B" wp14:editId="6A7F973F">
                  <wp:extent cx="5667153" cy="1007505"/>
                  <wp:effectExtent l="0" t="0" r="0" b="254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5883" b="11765"/>
                          <a:stretch/>
                        </pic:blipFill>
                        <pic:spPr bwMode="auto">
                          <a:xfrm>
                            <a:off x="0" y="0"/>
                            <a:ext cx="5670569" cy="1008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Goodwin et al. (1969) recruited f</w:t>
            </w:r>
            <w:r w:rsidRPr="004D6D93">
              <w:rPr>
                <w:b/>
                <w:bCs/>
                <w:sz w:val="28"/>
                <w:szCs w:val="28"/>
                <w:lang w:val="en-US"/>
              </w:rPr>
              <w:t>orty-eight male medical students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who</w:t>
            </w:r>
            <w:r w:rsidRPr="004D6D93">
              <w:rPr>
                <w:b/>
                <w:bCs/>
                <w:sz w:val="28"/>
                <w:szCs w:val="28"/>
                <w:lang w:val="en-US"/>
              </w:rPr>
              <w:t xml:space="preserve"> participated on day 1 in a training session and on day 2 in a testing. They were randomly assigned to four groups. 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>
            <w:pPr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  <w:lang w:val="en-US"/>
              </w:rPr>
              <w:t xml:space="preserve">Group1: (SS) was sober on both days. 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  <w:lang w:val="en-US"/>
              </w:rPr>
              <w:t>Group 2: (AA) was intoxicated both days.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3734"/>
              </w:tabs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  <w:lang w:val="en-US"/>
              </w:rPr>
              <w:t xml:space="preserve">Group 3: (AS) was intoxicated on day 1 and sober on day 2. 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  <w:lang w:val="en-US"/>
              </w:rPr>
              <w:t xml:space="preserve">Group 4: (SA) was sober on day 1 and intoxicated on day 2. 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2260"/>
              </w:tabs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  <w:lang w:val="en-US"/>
              </w:rPr>
              <w:t xml:space="preserve">The intoxicated groups had 111 mg/100 ml alcohol in their blood .They all showed signs of intoxication. 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2260"/>
              </w:tabs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  <w:lang w:val="en-US"/>
              </w:rPr>
              <w:t>The Participants had to perform 4 tests:  an avoidance task, a verbal rote-learning task, a word-association test, and a picture recognition task.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2545"/>
              </w:tabs>
              <w:rPr>
                <w:b/>
                <w:bCs/>
                <w:sz w:val="28"/>
                <w:szCs w:val="28"/>
              </w:rPr>
            </w:pPr>
            <w:r w:rsidRPr="004D6D93">
              <w:rPr>
                <w:b/>
                <w:bCs/>
                <w:sz w:val="28"/>
                <w:szCs w:val="28"/>
                <w:lang w:val="en-US"/>
              </w:rPr>
              <w:t xml:space="preserve">More errors were made on day 2 in the AS and SA condition than in the AA or SS conditions, however this was not the case for the </w:t>
            </w:r>
            <w:r w:rsidRPr="004D6D93">
              <w:rPr>
                <w:b/>
                <w:bCs/>
                <w:sz w:val="28"/>
                <w:szCs w:val="28"/>
              </w:rPr>
              <w:t>picture recognition test. The SS participants performed best in all tasks.</w:t>
            </w:r>
          </w:p>
        </w:tc>
      </w:tr>
      <w:tr w:rsidR="004D6D93" w:rsidTr="004D6D93">
        <w:tc>
          <w:tcPr>
            <w:tcW w:w="9242" w:type="dxa"/>
          </w:tcPr>
          <w:p w:rsidR="004D6D93" w:rsidRPr="004D6D93" w:rsidRDefault="004D6D93" w:rsidP="004D6D93">
            <w:pPr>
              <w:tabs>
                <w:tab w:val="left" w:pos="155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4D6D93">
              <w:rPr>
                <w:b/>
                <w:bCs/>
                <w:sz w:val="28"/>
                <w:szCs w:val="28"/>
              </w:rPr>
              <w:t>his supports the state-dependent memory theory as the performance was best in the participants who were sober or intoxicated on both days.</w:t>
            </w:r>
            <w:bookmarkStart w:id="0" w:name="_GoBack"/>
            <w:bookmarkEnd w:id="0"/>
          </w:p>
        </w:tc>
      </w:tr>
    </w:tbl>
    <w:p w:rsidR="00F44056" w:rsidRDefault="005A605D"/>
    <w:sectPr w:rsidR="00F4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0A1"/>
    <w:multiLevelType w:val="hybridMultilevel"/>
    <w:tmpl w:val="891458D4"/>
    <w:lvl w:ilvl="0" w:tplc="0F56CD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083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0AA1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1E03F8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142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348B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BE10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AC7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3CAD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93"/>
    <w:rsid w:val="003A1BC7"/>
    <w:rsid w:val="004D6D93"/>
    <w:rsid w:val="0059528A"/>
    <w:rsid w:val="005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6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6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2015-11-15T22:34:00Z</cp:lastPrinted>
  <dcterms:created xsi:type="dcterms:W3CDTF">2015-11-15T22:25:00Z</dcterms:created>
  <dcterms:modified xsi:type="dcterms:W3CDTF">2015-11-15T23:42:00Z</dcterms:modified>
</cp:coreProperties>
</file>